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统战部</w:t>
      </w:r>
      <w:r>
        <w:rPr>
          <w:rFonts w:hint="eastAsia" w:ascii="黑体" w:hAnsi="黑体" w:eastAsia="黑体" w:cs="黑体"/>
          <w:lang w:val="en-US" w:eastAsia="zh-CN"/>
        </w:rPr>
        <w:t>2020</w:t>
      </w:r>
      <w:r>
        <w:rPr>
          <w:rFonts w:hint="eastAsia" w:ascii="黑体" w:hAnsi="黑体" w:eastAsia="黑体" w:cs="黑体"/>
        </w:rPr>
        <w:t>年部门预算</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lang w:eastAsia="zh-CN"/>
        </w:rPr>
      </w:pP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统战部</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统战部</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统战部</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统战部</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val="0"/>
        <w:tabs>
          <w:tab w:val="left" w:pos="734"/>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落实加强党对统一战线工作集中统一领导的要求，发挥统战工作方面的参谋、组织协调、具体执行、督促检查等作用，了解情况、掌握政策、协调关系、安排人事、增进共识、加强团结，协调统一战线各方面关系，贯彻落实中央、省委、市委关于统一战线重大决策部署，巩固壮大最广泛的统一战线。</w:t>
      </w:r>
    </w:p>
    <w:p>
      <w:pPr>
        <w:tabs>
          <w:tab w:val="left" w:pos="734"/>
        </w:tabs>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（二）贯彻落实党中央、省委关于统一战线工作的理论、政策和法律法规及市委相关决策部署，深入调查研究，及时向市委报告统一战线工作情况并提出建议，统筹协调和指导各地各部门各单位统一战线工作。</w:t>
      </w:r>
    </w:p>
    <w:p>
      <w:pPr>
        <w:tabs>
          <w:tab w:val="left" w:pos="822"/>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发现，培养党外代表人士，负责党外人士的政治安排，会同有关部门做好安排党外人士担任政府和司法机关等领导职务的工作，协助民主党派市委会、市工商联做好干部管理工作，反映和协调解决党外代表人士工作生活中的实际困难，主管全市统一战线干部培训工作。</w:t>
      </w:r>
    </w:p>
    <w:p>
      <w:pPr>
        <w:tabs>
          <w:tab w:val="left" w:pos="822"/>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（四）贯彻落实党的宣传工作方针，统筹推进全市统一战线宣传工作，拟定全市统一战线宣传工作政策和规划并组织实施，研判涉及统一战线的舆情并协调有关部门应对处置。</w:t>
      </w:r>
    </w:p>
    <w:p>
      <w:pPr>
        <w:tabs>
          <w:tab w:val="left" w:pos="822"/>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联系各民主党派，通报情况、反映意见，贯彻落实中国共产党领导的多党合作和政治协商制度以及对民主党派的方针政策，支持、帮助民主党派加强自身建设，做好支持民主党派履行职责、发挥作用的工作。</w:t>
      </w:r>
    </w:p>
    <w:p>
      <w:pPr>
        <w:tabs>
          <w:tab w:val="left" w:pos="684"/>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（六）贯彻落实党的民族工作方针，协调处理民族工作中的重大问题，根据分工做好少数民族干部工作，全面促进民族事业发展。</w:t>
      </w:r>
    </w:p>
    <w:p>
      <w:pPr>
        <w:tabs>
          <w:tab w:val="left" w:pos="684"/>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统一管理宗教工作，贯彻落实党的宗教工作基本方针和政策，依法管理宗教行政事务，保护公民宗教信仰自由和正常的宗教活动，维护宗教界合法权益，抵御境外利用宗教进行渗透，引导各宗教坚持中国化方向，巩固和发展同宗教界的爱国统一战线。</w:t>
      </w:r>
    </w:p>
    <w:p>
      <w:pPr>
        <w:tabs>
          <w:tab w:val="left" w:pos="684"/>
        </w:tabs>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联系、培养无党派代表人士，支持、帮助无党派人士加强自身建设、发挥作用。调查研究党外知识分子和新的社会阶层人士情况并提出政策建议，联系、培养党外知识分子和新的社会阶层代表人士，开展思想政治工作，指导高等学校、科研院所、国有企业等有关单位和社会组织开展党外知识分子和新的社会阶层人士统战工作。</w:t>
      </w:r>
    </w:p>
    <w:p>
      <w:pPr>
        <w:tabs>
          <w:tab w:val="left" w:pos="797"/>
        </w:tabs>
        <w:wordWrap w:val="0"/>
        <w:topLinePunct/>
        <w:autoSpaceDE w:val="0"/>
        <w:autoSpaceDN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参与制定、推动落实鼓励支持引导非公有制经济发展的政策，调查研究非公有制经济人士情况并提出政策建议，了解和反映非公有制经济人士的意见，团结、服务、引导、教育非公有制经济人士，促进非公有制经济健康发展和非公有制经济人士健康成长。</w:t>
      </w:r>
    </w:p>
    <w:p>
      <w:pPr>
        <w:tabs>
          <w:tab w:val="left" w:pos="797"/>
        </w:tabs>
        <w:wordWrap w:val="0"/>
        <w:topLinePunct/>
        <w:autoSpaceDE w:val="0"/>
        <w:autoSpaceDN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统一管理侨务工作，贯彻落实中共中央、省委、市委的侨务工作政策，组织协调、督促检查有关部门贯彻执行侨务工作的方针政策和有关规定，管理侨务行政事务，统筹协调有关部门和社会团体涉侨工作，联系海外有关侨团和代表人士。</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（十一）负责开展海外统战工作，促进祖国统一，加强我市对外交流合作。联系香港、澳门、台湾和海外有关社团及代表人士。</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（十二）协助管理县（市、区）党委统战部部长。受市委委托，领导市工商联党组，指导工商联工作。指导市社会主义学院工作。做好统一战线有关单位和团体的管理工作。</w:t>
      </w:r>
    </w:p>
    <w:p>
      <w:pPr>
        <w:snapToGrid w:val="0"/>
        <w:spacing w:line="520" w:lineRule="exact"/>
        <w:ind w:firstLine="640" w:firstLineChars="200"/>
        <w:rPr>
          <w:rFonts w:ascii="仿宋" w:hAnsi="仿宋" w:eastAsia="仿宋" w:cs="仿宋"/>
          <w:color w:val="080808"/>
          <w:sz w:val="32"/>
          <w:szCs w:val="32"/>
          <w:shd w:val="clear" w:color="auto" w:fill="FFFFFF"/>
        </w:rPr>
      </w:pPr>
      <w:r>
        <w:rPr>
          <w:rFonts w:hint="eastAsia" w:ascii="仿宋_GB2312" w:hAnsi="仿宋_GB2312" w:eastAsia="仿宋_GB2312" w:cs="仿宋_GB2312"/>
          <w:sz w:val="32"/>
          <w:szCs w:val="32"/>
        </w:rPr>
        <w:t>（十三）完成市委交办的其他任务。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宋体" w:eastAsia="仿宋_GB2312" w:cs="仿宋_GB2312"/>
          <w:sz w:val="32"/>
          <w:szCs w:val="32"/>
        </w:rPr>
      </w:pPr>
      <w:r>
        <w:rPr>
          <w:rFonts w:hint="eastAsia" w:ascii="仿宋_GB2312" w:hAnsi="仿宋_GB2312" w:eastAsia="仿宋_GB2312" w:cs="仿宋_GB2312"/>
          <w:sz w:val="32"/>
          <w:szCs w:val="32"/>
        </w:rPr>
        <w:t>本部门共有预算单位1个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即部门本级。编制数为31人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其中行政编制21人、全额补助事业编制10人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实有人数43人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其中在职30人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包括行政22人、全额补助8人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退休13人。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统战部</w:t>
      </w:r>
      <w:r>
        <w:rPr>
          <w:rFonts w:ascii="黑体" w:hAnsi="宋体" w:eastAsia="黑体" w:cs="黑体"/>
          <w:sz w:val="32"/>
          <w:szCs w:val="32"/>
        </w:rPr>
        <w:t>xx</w:t>
      </w:r>
      <w:r>
        <w:rPr>
          <w:rFonts w:hint="eastAsia" w:ascii="黑体" w:hAnsi="宋体" w:eastAsia="黑体" w:cs="黑体"/>
          <w:sz w:val="32"/>
          <w:szCs w:val="32"/>
        </w:rPr>
        <w:t>年</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统战部</w:t>
      </w:r>
      <w:r>
        <w:rPr>
          <w:rFonts w:hint="eastAsia" w:ascii="仿宋_GB2312" w:hAnsi="宋体" w:eastAsia="仿宋_GB2312" w:cs="仿宋_GB2312"/>
          <w:sz w:val="32"/>
          <w:szCs w:val="32"/>
        </w:rPr>
        <w:t>（委、办）收入预算总额为</w:t>
      </w:r>
      <w:r>
        <w:rPr>
          <w:rFonts w:hint="eastAsia" w:ascii="仿宋_GB2312" w:hAnsi="宋体" w:eastAsia="仿宋_GB2312" w:cs="仿宋_GB2312"/>
          <w:sz w:val="32"/>
          <w:szCs w:val="32"/>
          <w:lang w:val="en-US" w:eastAsia="zh-CN"/>
        </w:rPr>
        <w:t>755.78</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158.27万元增加26.49</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增长的主要原因为原民宗局整体并入统战部</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755.78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统战部</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755.78</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158.27万元增加26.49</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增长的主要原因为原民宗局整体并入统战部</w:t>
      </w:r>
      <w:r>
        <w:rPr>
          <w:rFonts w:hint="eastAsia" w:ascii="仿宋_GB2312" w:hAnsi="宋体" w:eastAsia="仿宋_GB2312" w:cs="仿宋_GB2312"/>
          <w:sz w:val="32"/>
          <w:szCs w:val="32"/>
        </w:rPr>
        <w:t>。其中：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556.78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73.67</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488.43</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67.15</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199</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26.33</w:t>
      </w:r>
      <w:r>
        <w:rPr>
          <w:rFonts w:ascii="仿宋_GB2312" w:hAnsi="宋体" w:eastAsia="仿宋_GB2312" w:cs="仿宋_GB2312"/>
          <w:sz w:val="32"/>
          <w:szCs w:val="32"/>
        </w:rPr>
        <w:t>%</w:t>
      </w:r>
      <w:r>
        <w:rPr>
          <w:rFonts w:hint="eastAsia" w:ascii="仿宋_GB2312" w:hAnsi="宋体" w:eastAsia="仿宋_GB2312" w:cs="仿宋_GB2312"/>
          <w:sz w:val="32"/>
          <w:szCs w:val="32"/>
        </w:rPr>
        <w:t>，包括商品和服务支出</w:t>
      </w:r>
      <w:r>
        <w:rPr>
          <w:rFonts w:hint="eastAsia" w:ascii="仿宋_GB2312" w:hAnsi="宋体" w:eastAsia="仿宋_GB2312" w:cs="仿宋_GB2312"/>
          <w:sz w:val="32"/>
          <w:szCs w:val="32"/>
          <w:lang w:val="en-US" w:eastAsia="zh-CN"/>
        </w:rPr>
        <w:t>179</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宋体" w:eastAsia="仿宋_GB2312" w:cs="仿宋_GB2312"/>
          <w:sz w:val="32"/>
          <w:szCs w:val="32"/>
        </w:rPr>
        <w:t>按支出功能科目划分：</w:t>
      </w:r>
      <w:r>
        <w:rPr>
          <w:rFonts w:hint="eastAsia" w:ascii="仿宋_GB2312" w:hAnsi="仿宋_GB2312" w:eastAsia="仿宋_GB2312" w:cs="仿宋_GB2312"/>
          <w:sz w:val="32"/>
          <w:szCs w:val="32"/>
        </w:rPr>
        <w:t>一</w:t>
      </w:r>
      <w:r>
        <w:rPr>
          <w:rFonts w:hint="eastAsia" w:ascii="仿宋_GB2312" w:hAnsi="仿宋_GB2312" w:eastAsia="仿宋_GB2312" w:cs="仿宋_GB2312"/>
          <w:spacing w:val="-11"/>
          <w:sz w:val="32"/>
          <w:szCs w:val="32"/>
        </w:rPr>
        <w:t>般公共服务支出662.64万元</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占</w:t>
      </w:r>
      <w:r>
        <w:rPr>
          <w:rFonts w:hint="eastAsia" w:ascii="仿宋_GB2312" w:hAnsi="宋体" w:eastAsia="仿宋_GB2312" w:cs="仿宋_GB2312"/>
          <w:sz w:val="32"/>
          <w:szCs w:val="32"/>
        </w:rPr>
        <w:t>支出预算总额</w:t>
      </w:r>
      <w:r>
        <w:rPr>
          <w:rFonts w:hint="eastAsia" w:ascii="仿宋_GB2312" w:hAnsi="仿宋_GB2312" w:eastAsia="仿宋_GB2312" w:cs="仿宋_GB2312"/>
          <w:spacing w:val="-11"/>
          <w:sz w:val="32"/>
          <w:szCs w:val="32"/>
        </w:rPr>
        <w:t>的87.68%</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z w:val="32"/>
          <w:szCs w:val="32"/>
        </w:rPr>
        <w:t>社</w:t>
      </w:r>
      <w:r>
        <w:rPr>
          <w:rFonts w:hint="eastAsia" w:ascii="仿宋_GB2312" w:hAnsi="仿宋_GB2312" w:eastAsia="仿宋_GB2312" w:cs="仿宋_GB2312"/>
          <w:spacing w:val="-11"/>
          <w:sz w:val="32"/>
          <w:szCs w:val="32"/>
        </w:rPr>
        <w:t>会保障和就业支出36.34万元</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占</w:t>
      </w:r>
      <w:r>
        <w:rPr>
          <w:rFonts w:hint="eastAsia" w:ascii="仿宋_GB2312" w:hAnsi="宋体" w:eastAsia="仿宋_GB2312" w:cs="仿宋_GB2312"/>
          <w:sz w:val="32"/>
          <w:szCs w:val="32"/>
        </w:rPr>
        <w:t>支出预算总额</w:t>
      </w:r>
      <w:r>
        <w:rPr>
          <w:rFonts w:hint="eastAsia" w:ascii="仿宋_GB2312" w:hAnsi="仿宋_GB2312" w:eastAsia="仿宋_GB2312" w:cs="仿宋_GB2312"/>
          <w:spacing w:val="-11"/>
          <w:sz w:val="32"/>
          <w:szCs w:val="32"/>
        </w:rPr>
        <w:t>的4.81%</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z w:val="32"/>
          <w:szCs w:val="32"/>
        </w:rPr>
        <w:t>卫生健康支出30.68万元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宋体" w:eastAsia="仿宋_GB2312" w:cs="仿宋_GB2312"/>
          <w:sz w:val="32"/>
          <w:szCs w:val="32"/>
        </w:rPr>
        <w:t>支出预算总额</w:t>
      </w:r>
      <w:r>
        <w:rPr>
          <w:rFonts w:hint="eastAsia" w:ascii="仿宋_GB2312" w:hAnsi="仿宋_GB2312" w:eastAsia="仿宋_GB2312" w:cs="仿宋_GB2312"/>
          <w:sz w:val="32"/>
          <w:szCs w:val="32"/>
        </w:rPr>
        <w:t>的4.06%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住房保障支出26.12万元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宋体" w:eastAsia="仿宋_GB2312" w:cs="仿宋_GB2312"/>
          <w:sz w:val="32"/>
          <w:szCs w:val="32"/>
        </w:rPr>
        <w:t>支出预算总额</w:t>
      </w:r>
      <w:r>
        <w:rPr>
          <w:rFonts w:hint="eastAsia" w:ascii="仿宋_GB2312" w:hAnsi="仿宋_GB2312" w:eastAsia="仿宋_GB2312" w:cs="仿宋_GB2312"/>
          <w:sz w:val="32"/>
          <w:szCs w:val="32"/>
        </w:rPr>
        <w:t>的3.46%</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488.43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64.62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246.15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32.56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0.16</w:t>
      </w:r>
      <w:r>
        <w:rPr>
          <w:rFonts w:ascii="仿宋_GB2312" w:hAnsi="宋体" w:eastAsia="仿宋_GB2312" w:cs="仿宋_GB2312"/>
          <w:sz w:val="32"/>
          <w:szCs w:val="32"/>
        </w:rPr>
        <w:t>%</w:t>
      </w:r>
      <w:r>
        <w:rPr>
          <w:rFonts w:hint="eastAsia" w:ascii="仿宋_GB2312" w:hAnsi="宋体" w:eastAsia="仿宋_GB2312" w:cs="仿宋_GB2312"/>
          <w:sz w:val="32"/>
          <w:szCs w:val="32"/>
        </w:rPr>
        <w:t>、其他资本性支出</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2.65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统战部财政拨款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755.78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271.38万元增加56.02</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增长的主要原因为原民宗局整体并入统战部</w:t>
      </w:r>
      <w:r>
        <w:rPr>
          <w:rFonts w:hint="eastAsia" w:ascii="仿宋_GB2312"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Times New Roman"/>
          <w:sz w:val="32"/>
          <w:szCs w:val="32"/>
          <w:lang w:eastAsia="zh-CN"/>
        </w:rPr>
      </w:pPr>
      <w:r>
        <w:rPr>
          <w:rFonts w:hint="eastAsia" w:ascii="仿宋_GB2312" w:hAnsi="宋体" w:eastAsia="仿宋_GB2312" w:cs="仿宋_GB2312"/>
          <w:sz w:val="32"/>
          <w:szCs w:val="32"/>
        </w:rPr>
        <w:t>具体支出情况是：</w:t>
      </w:r>
      <w:r>
        <w:rPr>
          <w:rFonts w:hint="eastAsia" w:ascii="仿宋_GB2312" w:hAnsi="仿宋_GB2312" w:eastAsia="仿宋_GB2312" w:cs="仿宋_GB2312"/>
          <w:sz w:val="32"/>
          <w:szCs w:val="32"/>
        </w:rPr>
        <w:t>一</w:t>
      </w:r>
      <w:r>
        <w:rPr>
          <w:rFonts w:hint="eastAsia" w:ascii="仿宋_GB2312" w:hAnsi="仿宋_GB2312" w:eastAsia="仿宋_GB2312" w:cs="仿宋_GB2312"/>
          <w:spacing w:val="-11"/>
          <w:sz w:val="32"/>
          <w:szCs w:val="32"/>
        </w:rPr>
        <w:t>般公共服务支出662.64万元</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占公共财政拨款支出预算的87.68%</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z w:val="32"/>
          <w:szCs w:val="32"/>
        </w:rPr>
        <w:t>社</w:t>
      </w:r>
      <w:r>
        <w:rPr>
          <w:rFonts w:hint="eastAsia" w:ascii="仿宋_GB2312" w:hAnsi="仿宋_GB2312" w:eastAsia="仿宋_GB2312" w:cs="仿宋_GB2312"/>
          <w:spacing w:val="-11"/>
          <w:sz w:val="32"/>
          <w:szCs w:val="32"/>
        </w:rPr>
        <w:t>会保障和就业支出36.34万元</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pacing w:val="-11"/>
          <w:sz w:val="32"/>
          <w:szCs w:val="32"/>
        </w:rPr>
        <w:t>占公共财政拨款支出预算的4.81%</w:t>
      </w:r>
      <w:r>
        <w:rPr>
          <w:rFonts w:hint="eastAsia" w:ascii="仿宋_GB2312" w:hAnsi="仿宋_GB2312" w:eastAsia="仿宋_GB2312" w:cs="仿宋_GB2312"/>
          <w:spacing w:val="-11"/>
          <w:sz w:val="32"/>
          <w:szCs w:val="32"/>
          <w:lang w:eastAsia="zh-CN"/>
        </w:rPr>
        <w:t>；</w:t>
      </w:r>
      <w:r>
        <w:rPr>
          <w:rFonts w:hint="eastAsia" w:ascii="仿宋_GB2312" w:hAnsi="仿宋_GB2312" w:eastAsia="仿宋_GB2312" w:cs="仿宋_GB2312"/>
          <w:sz w:val="32"/>
          <w:szCs w:val="32"/>
        </w:rPr>
        <w:t>卫生健康支出30.68万元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占公共财政拨款支出预算的4.06%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住房保障支出26.12万元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占公共财政拨款支出预算的3.46%</w:t>
      </w:r>
      <w:r>
        <w:rPr>
          <w:rFonts w:hint="eastAsia" w:ascii="仿宋_GB2312" w:hAnsi="仿宋_GB2312"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13"/>
        </w:tabs>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2020年政府采购预算为50.00万元</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其中:部门集中采购50.00万元。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tabs>
          <w:tab w:val="left" w:pos="1113"/>
        </w:tabs>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rPr>
        <w:t>无政府基金收支预算</w:t>
      </w:r>
      <w:r>
        <w:rPr>
          <w:rFonts w:hint="eastAsia" w:ascii="仿宋_GB2312" w:hAnsi="宋体" w:eastAsia="仿宋_GB2312" w:cs="仿宋_GB2312"/>
          <w:color w:val="auto"/>
          <w:sz w:val="32"/>
          <w:szCs w:val="32"/>
          <w:lang w:eastAsia="zh-CN"/>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统战部</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万元。其中：</w:t>
      </w:r>
      <w:bookmarkStart w:id="0" w:name="_GoBack"/>
      <w:bookmarkEnd w:id="0"/>
      <w:r>
        <w:rPr>
          <w:rFonts w:hint="eastAsia" w:ascii="仿宋_GB2312" w:hAnsi="宋体" w:eastAsia="仿宋_GB2312" w:cs="仿宋_GB2312"/>
          <w:sz w:val="32"/>
          <w:szCs w:val="32"/>
        </w:rPr>
        <w:t>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w:t>
      </w:r>
      <w:r>
        <w:rPr>
          <w:rFonts w:hint="eastAsia" w:ascii="黑体" w:hAnsi="宋体" w:eastAsia="黑体" w:cs="黑体"/>
          <w:sz w:val="32"/>
          <w:szCs w:val="32"/>
          <w:lang w:eastAsia="zh-CN"/>
        </w:rPr>
        <w:t>统战部</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2011105派驻派出机构：反映由纪检监察部门负担的派驻各部门和单位的纪检监察人员的专项业务支出。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2013401行政运行：反映行政单位（包括实行公务员管理的事业单位）的基本支出。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2080505机关事业单位基本养老保险缴费支出：反映机关事业单位实施养老保险制度由单位缴纳的基本养老保险费支出。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2101101行政单位医疗：反映财政部门安排的行政单位包括实行公务员管理的事业单位）基本医疗保险缴费经费，未参加医疗保险的行政单位的公费医疗经费，按国家规定享受离休人员、红军老战士待遇人员的医疗经费。</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2101103公务员医疗补助：反映财政部门安排的公务员医疗补助经费。</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2011199其他行政事业单位医疗支出：反映除上述项目以外的其他用于行政事业单位医疗方面的支出。</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2210201住房公积金：反映行政单位按人力资源和社会保障部、财政部规定的基本工资和津贴以及规定比例为职工缴纳的住房公积金。</w:t>
      </w:r>
    </w:p>
    <w:p>
      <w:pPr>
        <w:widowControl/>
        <w:spacing w:line="600" w:lineRule="exact"/>
        <w:ind w:firstLine="640"/>
        <w:jc w:val="left"/>
        <w:rPr>
          <w:rFonts w:hint="default" w:ascii="仿宋_GB2312" w:eastAsia="仿宋_GB2312"/>
          <w:color w:val="000000"/>
          <w:sz w:val="32"/>
          <w:szCs w:val="30"/>
          <w:lang w:val="en-US" w:eastAsia="zh-CN"/>
        </w:rPr>
      </w:pPr>
    </w:p>
    <w:p>
      <w:pPr>
        <w:widowControl/>
        <w:spacing w:line="600" w:lineRule="exact"/>
        <w:ind w:firstLine="640"/>
        <w:jc w:val="left"/>
        <w:rPr>
          <w:rFonts w:hint="default" w:ascii="仿宋_GB2312" w:eastAsia="仿宋_GB2312"/>
          <w:color w:val="000000"/>
          <w:sz w:val="32"/>
          <w:szCs w:val="30"/>
          <w:lang w:val="en-US" w:eastAsia="zh-CN"/>
        </w:rPr>
      </w:pP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417C1D"/>
    <w:rsid w:val="0CBF216E"/>
    <w:rsid w:val="0FCB58D0"/>
    <w:rsid w:val="11427CB1"/>
    <w:rsid w:val="139E3D52"/>
    <w:rsid w:val="162B4B72"/>
    <w:rsid w:val="18AC060B"/>
    <w:rsid w:val="19076E1D"/>
    <w:rsid w:val="1AE70B32"/>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690A353A"/>
    <w:rsid w:val="6BD31467"/>
    <w:rsid w:val="6CCD165E"/>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dcterms:modified xsi:type="dcterms:W3CDTF">2020-06-17T09:01:04Z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